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63246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32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rFonts w:ascii="Palatino Linotype" w:cs="Palatino Linotype" w:eastAsia="Palatino Linotype" w:hAnsi="Palatino Linotype"/>
          <w:sz w:val="20"/>
          <w:szCs w:val="20"/>
        </w:rPr>
      </w:pPr>
      <w:r w:rsidDel="00000000" w:rsidR="00000000" w:rsidRPr="00000000">
        <w:rPr>
          <w:rFonts w:ascii="Palatino Linotype" w:cs="Palatino Linotype" w:eastAsia="Palatino Linotype" w:hAnsi="Palatino Linotype"/>
          <w:sz w:val="20"/>
          <w:szCs w:val="20"/>
          <w:rtl w:val="0"/>
        </w:rPr>
        <w:t xml:space="preserve">Figure S1. Circular maps of the mitogenomes of four Ovis species. A) B2 B) B3 C)B4 D) B5</w:t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Palatino Linotyp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alatinoLinotype-regular.ttf"/><Relationship Id="rId2" Type="http://schemas.openxmlformats.org/officeDocument/2006/relationships/font" Target="fonts/PalatinoLinotype-bold.ttf"/><Relationship Id="rId3" Type="http://schemas.openxmlformats.org/officeDocument/2006/relationships/font" Target="fonts/PalatinoLinotype-italic.ttf"/><Relationship Id="rId4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